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257D" w14:textId="523DE24B" w:rsidR="000D1084" w:rsidRDefault="00C1670F" w:rsidP="000D1084">
      <w:pPr>
        <w:pStyle w:val="11"/>
        <w:ind w:leftChars="0" w:left="0" w:firstLineChars="0" w:firstLine="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运维</w:t>
      </w:r>
      <w:r w:rsidR="000D1084">
        <w:rPr>
          <w:rFonts w:hint="eastAsia"/>
          <w:b/>
          <w:bCs/>
          <w:sz w:val="28"/>
          <w:szCs w:val="28"/>
        </w:rPr>
        <w:t>服务内容清单</w:t>
      </w:r>
    </w:p>
    <w:tbl>
      <w:tblPr>
        <w:tblStyle w:val="af1"/>
        <w:tblW w:w="4445" w:type="pct"/>
        <w:jc w:val="center"/>
        <w:tblLook w:val="04A0" w:firstRow="1" w:lastRow="0" w:firstColumn="1" w:lastColumn="0" w:noHBand="0" w:noVBand="1"/>
      </w:tblPr>
      <w:tblGrid>
        <w:gridCol w:w="989"/>
        <w:gridCol w:w="4114"/>
        <w:gridCol w:w="848"/>
        <w:gridCol w:w="1133"/>
        <w:gridCol w:w="1274"/>
      </w:tblGrid>
      <w:tr w:rsidR="000D1084" w14:paraId="0D76AF95" w14:textId="48475C06" w:rsidTr="000D1084">
        <w:trPr>
          <w:jc w:val="center"/>
        </w:trPr>
        <w:tc>
          <w:tcPr>
            <w:tcW w:w="592" w:type="pct"/>
            <w:vAlign w:val="center"/>
          </w:tcPr>
          <w:p w14:paraId="4465093F" w14:textId="77777777" w:rsidR="000D1084" w:rsidRDefault="000D1084" w:rsidP="004C3A33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名称</w:t>
            </w:r>
          </w:p>
        </w:tc>
        <w:tc>
          <w:tcPr>
            <w:tcW w:w="2461" w:type="pct"/>
            <w:vAlign w:val="center"/>
          </w:tcPr>
          <w:p w14:paraId="732091BF" w14:textId="77777777" w:rsidR="000D1084" w:rsidRDefault="000D1084" w:rsidP="004C3A33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服务内容</w:t>
            </w:r>
          </w:p>
        </w:tc>
        <w:tc>
          <w:tcPr>
            <w:tcW w:w="507" w:type="pct"/>
            <w:vAlign w:val="center"/>
          </w:tcPr>
          <w:p w14:paraId="438440C0" w14:textId="3D7C3137" w:rsidR="000D1084" w:rsidRDefault="000D1084" w:rsidP="004C3A33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678" w:type="pct"/>
          </w:tcPr>
          <w:p w14:paraId="6E7A685D" w14:textId="57F5DD2A" w:rsidR="000D1084" w:rsidRDefault="000D1084" w:rsidP="004C3A33">
            <w:pPr>
              <w:ind w:firstLineChars="0" w:firstLine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单价</w:t>
            </w:r>
          </w:p>
        </w:tc>
        <w:tc>
          <w:tcPr>
            <w:tcW w:w="762" w:type="pct"/>
          </w:tcPr>
          <w:p w14:paraId="74A2360E" w14:textId="142A6161" w:rsidR="000D1084" w:rsidRDefault="000D1084" w:rsidP="004C3A33">
            <w:pPr>
              <w:ind w:firstLineChars="0" w:firstLine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小计</w:t>
            </w:r>
          </w:p>
        </w:tc>
      </w:tr>
      <w:tr w:rsidR="000D1084" w14:paraId="5957F4F7" w14:textId="0E00BC29" w:rsidTr="000D1084">
        <w:trPr>
          <w:jc w:val="center"/>
        </w:trPr>
        <w:tc>
          <w:tcPr>
            <w:tcW w:w="592" w:type="pct"/>
            <w:vAlign w:val="center"/>
          </w:tcPr>
          <w:p w14:paraId="1D3A9C68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网络资产梳理</w:t>
            </w:r>
          </w:p>
        </w:tc>
        <w:tc>
          <w:tcPr>
            <w:tcW w:w="2461" w:type="pct"/>
            <w:vAlign w:val="center"/>
          </w:tcPr>
          <w:p w14:paraId="6C8EFAE0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对甲方的所有网络信息资产进行统计梳理，通过人工方式对甲方所有的网络设备、安全设备、服务器等资产进行统计，形成资产清单，同时绘制网络拓扑图和机房设备位置图等内容，并进行持续的监控及跟踪管理。</w:t>
            </w:r>
          </w:p>
        </w:tc>
        <w:tc>
          <w:tcPr>
            <w:tcW w:w="507" w:type="pct"/>
            <w:vAlign w:val="center"/>
          </w:tcPr>
          <w:p w14:paraId="443B4CF3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次</w:t>
            </w:r>
            <w:r>
              <w:rPr>
                <w:color w:val="000000"/>
                <w:sz w:val="21"/>
                <w:szCs w:val="21"/>
              </w:rPr>
              <w:t>/</w:t>
            </w:r>
            <w:r>
              <w:rPr>
                <w:color w:val="000000"/>
                <w:sz w:val="21"/>
                <w:szCs w:val="21"/>
              </w:rPr>
              <w:t>年</w:t>
            </w:r>
          </w:p>
        </w:tc>
        <w:tc>
          <w:tcPr>
            <w:tcW w:w="678" w:type="pct"/>
          </w:tcPr>
          <w:p w14:paraId="281439C3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2" w:type="pct"/>
          </w:tcPr>
          <w:p w14:paraId="4D3F3B26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D1084" w14:paraId="3320C5ED" w14:textId="0DCCFADF" w:rsidTr="000D1084">
        <w:trPr>
          <w:jc w:val="center"/>
        </w:trPr>
        <w:tc>
          <w:tcPr>
            <w:tcW w:w="592" w:type="pct"/>
            <w:vAlign w:val="center"/>
          </w:tcPr>
          <w:p w14:paraId="1E5D9A26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日常巡检服务</w:t>
            </w:r>
          </w:p>
        </w:tc>
        <w:tc>
          <w:tcPr>
            <w:tcW w:w="2461" w:type="pct"/>
            <w:vAlign w:val="center"/>
          </w:tcPr>
          <w:p w14:paraId="07EF654C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提供每月一次的设备巡检服务。主要服务内容如下：</w:t>
            </w:r>
            <w:r>
              <w:rPr>
                <w:rFonts w:hint="eastAsia"/>
                <w:color w:val="000000"/>
                <w:sz w:val="21"/>
                <w:szCs w:val="21"/>
              </w:rPr>
              <w:br/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、设备硬件状态检查、检查指示灯状态、检查风扇的运转状态、检查电源电压、检查设备模块内部接口、内部配置检查及备份、检查网络系统完整性、主机系统日常状态、各类错误报告、各磁盘状态等，保证设备处于正常工作状态。</w:t>
            </w:r>
            <w:r>
              <w:rPr>
                <w:rFonts w:hint="eastAsia"/>
                <w:color w:val="000000"/>
                <w:sz w:val="21"/>
                <w:szCs w:val="21"/>
              </w:rPr>
              <w:br/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、网络链路、设备和系统的监控、巡检、故障诊断和处理；</w:t>
            </w:r>
            <w:r>
              <w:rPr>
                <w:rFonts w:hint="eastAsia"/>
                <w:color w:val="000000"/>
                <w:sz w:val="21"/>
                <w:szCs w:val="21"/>
              </w:rPr>
              <w:br/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、每月对网络设备相关日志进行整理分析，及时发现潜在的错误及隐患，并加以解决；</w:t>
            </w:r>
            <w:r>
              <w:rPr>
                <w:rFonts w:hint="eastAsia"/>
                <w:color w:val="000000"/>
                <w:sz w:val="21"/>
                <w:szCs w:val="21"/>
              </w:rPr>
              <w:br/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、检查服务器系统运行状态、配置和日志，形成巡检报告。</w:t>
            </w:r>
          </w:p>
        </w:tc>
        <w:tc>
          <w:tcPr>
            <w:tcW w:w="507" w:type="pct"/>
            <w:vAlign w:val="center"/>
          </w:tcPr>
          <w:p w14:paraId="060DBEA6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次</w:t>
            </w:r>
            <w:r>
              <w:rPr>
                <w:color w:val="000000"/>
                <w:sz w:val="21"/>
                <w:szCs w:val="21"/>
              </w:rPr>
              <w:t>/</w:t>
            </w:r>
            <w:r>
              <w:rPr>
                <w:color w:val="000000"/>
                <w:sz w:val="21"/>
                <w:szCs w:val="21"/>
              </w:rPr>
              <w:t>月</w:t>
            </w:r>
          </w:p>
        </w:tc>
        <w:tc>
          <w:tcPr>
            <w:tcW w:w="678" w:type="pct"/>
          </w:tcPr>
          <w:p w14:paraId="239E6091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62" w:type="pct"/>
          </w:tcPr>
          <w:p w14:paraId="0BC0FD3B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0D1084" w14:paraId="391944E6" w14:textId="05BF671A" w:rsidTr="000D1084">
        <w:trPr>
          <w:jc w:val="center"/>
        </w:trPr>
        <w:tc>
          <w:tcPr>
            <w:tcW w:w="592" w:type="pct"/>
            <w:vAlign w:val="center"/>
          </w:tcPr>
          <w:p w14:paraId="0B55DA7C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配置核查服务</w:t>
            </w:r>
          </w:p>
        </w:tc>
        <w:tc>
          <w:tcPr>
            <w:tcW w:w="2461" w:type="pct"/>
            <w:vAlign w:val="center"/>
          </w:tcPr>
          <w:p w14:paraId="77AB822A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建立各类资源的安全基线，提高资源的自身抗攻击能力，包含如下服务内容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</w:rPr>
              <w:t>基线检查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</w:rPr>
              <w:t>对系统组成对象包括操作系统、网络设备、</w:t>
            </w:r>
            <w:r>
              <w:rPr>
                <w:rFonts w:hint="eastAsia"/>
                <w:color w:val="000000"/>
                <w:sz w:val="21"/>
                <w:szCs w:val="21"/>
              </w:rPr>
              <w:t>WEB</w:t>
            </w:r>
            <w:r>
              <w:rPr>
                <w:rFonts w:hint="eastAsia"/>
                <w:color w:val="000000"/>
                <w:sz w:val="21"/>
                <w:szCs w:val="21"/>
              </w:rPr>
              <w:t>应用、中间件、数据库以及防火墙等设备建立安全基线，内容包含但不限于以下内容</w:t>
            </w:r>
            <w:r>
              <w:rPr>
                <w:rFonts w:hint="eastAsia"/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根据设备类型不同会有所调</w:t>
            </w: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整</w:t>
            </w:r>
            <w:r>
              <w:rPr>
                <w:rFonts w:hint="eastAsia"/>
                <w:color w:val="000000"/>
                <w:sz w:val="21"/>
                <w:szCs w:val="21"/>
              </w:rPr>
              <w:t>):</w:t>
            </w:r>
            <w:r>
              <w:rPr>
                <w:rFonts w:hint="eastAsia"/>
                <w:color w:val="000000"/>
                <w:sz w:val="21"/>
                <w:szCs w:val="21"/>
              </w:rPr>
              <w:t>设备管理、补丁管理、用户账号与口令安全、服务优化、安全防护。安全基线检查包括系统安全基线的制定、系统安全基线的管理更新、系统安全基线的检查等</w:t>
            </w:r>
            <w:r>
              <w:rPr>
                <w:rFonts w:hint="eastAsia"/>
                <w:color w:val="000000"/>
                <w:sz w:val="21"/>
                <w:szCs w:val="21"/>
              </w:rPr>
              <w:t>;</w:t>
            </w:r>
            <w:r>
              <w:rPr>
                <w:rFonts w:hint="eastAsia"/>
                <w:color w:val="000000"/>
                <w:sz w:val="21"/>
                <w:szCs w:val="21"/>
              </w:rPr>
              <w:t>配置核查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</w:rPr>
              <w:t>依据基线标准创建符合实际情况的策略表，采用手工方法对实施范围内的主机系统、网络设备、安全设备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等对象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逐台进行检查分析，输出详细的配置核查报告。</w:t>
            </w:r>
          </w:p>
        </w:tc>
        <w:tc>
          <w:tcPr>
            <w:tcW w:w="507" w:type="pct"/>
            <w:vAlign w:val="center"/>
          </w:tcPr>
          <w:p w14:paraId="09AD6B2A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2</w:t>
            </w:r>
            <w:r>
              <w:rPr>
                <w:color w:val="000000"/>
                <w:sz w:val="21"/>
                <w:szCs w:val="21"/>
              </w:rPr>
              <w:t>次</w:t>
            </w:r>
            <w:r>
              <w:rPr>
                <w:color w:val="000000"/>
                <w:sz w:val="21"/>
                <w:szCs w:val="21"/>
              </w:rPr>
              <w:t>/</w:t>
            </w:r>
            <w:r>
              <w:rPr>
                <w:color w:val="000000"/>
                <w:sz w:val="21"/>
                <w:szCs w:val="21"/>
              </w:rPr>
              <w:t>年</w:t>
            </w:r>
          </w:p>
        </w:tc>
        <w:tc>
          <w:tcPr>
            <w:tcW w:w="678" w:type="pct"/>
          </w:tcPr>
          <w:p w14:paraId="1BFEA7D8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62" w:type="pct"/>
          </w:tcPr>
          <w:p w14:paraId="1AE2F96F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0D1084" w14:paraId="67DD7213" w14:textId="1087D884" w:rsidTr="000D1084">
        <w:trPr>
          <w:jc w:val="center"/>
        </w:trPr>
        <w:tc>
          <w:tcPr>
            <w:tcW w:w="592" w:type="pct"/>
            <w:vAlign w:val="center"/>
          </w:tcPr>
          <w:p w14:paraId="19750FBD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信息系统渗透</w:t>
            </w:r>
          </w:p>
        </w:tc>
        <w:tc>
          <w:tcPr>
            <w:tcW w:w="2461" w:type="pct"/>
            <w:vAlign w:val="center"/>
          </w:tcPr>
          <w:p w14:paraId="3AE97384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在取得用户授权的情况下，通过模拟黑客攻击对系统进行全面的漏洞检测与分析，输出专业的渗透报告。（限两个系统）。</w:t>
            </w:r>
          </w:p>
        </w:tc>
        <w:tc>
          <w:tcPr>
            <w:tcW w:w="507" w:type="pct"/>
            <w:vAlign w:val="center"/>
          </w:tcPr>
          <w:p w14:paraId="29016F16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次</w:t>
            </w:r>
            <w:r>
              <w:rPr>
                <w:color w:val="000000"/>
                <w:sz w:val="21"/>
                <w:szCs w:val="21"/>
              </w:rPr>
              <w:t>/</w:t>
            </w:r>
            <w:r>
              <w:rPr>
                <w:color w:val="000000"/>
                <w:sz w:val="21"/>
                <w:szCs w:val="21"/>
              </w:rPr>
              <w:t>年</w:t>
            </w:r>
          </w:p>
        </w:tc>
        <w:tc>
          <w:tcPr>
            <w:tcW w:w="678" w:type="pct"/>
          </w:tcPr>
          <w:p w14:paraId="430CE229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62" w:type="pct"/>
          </w:tcPr>
          <w:p w14:paraId="4689F47A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0D1084" w14:paraId="3009289A" w14:textId="3574D2D3" w:rsidTr="000D1084">
        <w:trPr>
          <w:jc w:val="center"/>
        </w:trPr>
        <w:tc>
          <w:tcPr>
            <w:tcW w:w="592" w:type="pct"/>
            <w:vAlign w:val="center"/>
          </w:tcPr>
          <w:p w14:paraId="356E3099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漏洞扫描服务</w:t>
            </w:r>
          </w:p>
        </w:tc>
        <w:tc>
          <w:tcPr>
            <w:tcW w:w="2461" w:type="pct"/>
          </w:tcPr>
          <w:p w14:paraId="5F4B346C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季度对系统范围内的所有设备提供一次漏洞扫描服务，此外在系统变更时，可根据甲方要求进行漏洞扫描服务。通过漏洞扫描服务，实现第一时间主动对网络中的资产进行细致深入的漏洞检测、分析，并提供专业、有效的漏洞防护建议与相关厂商的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补丁超链接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地址。</w:t>
            </w:r>
          </w:p>
        </w:tc>
        <w:tc>
          <w:tcPr>
            <w:tcW w:w="507" w:type="pct"/>
            <w:vAlign w:val="center"/>
          </w:tcPr>
          <w:p w14:paraId="63270114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次</w:t>
            </w:r>
            <w:r>
              <w:rPr>
                <w:color w:val="000000"/>
                <w:sz w:val="21"/>
                <w:szCs w:val="21"/>
              </w:rPr>
              <w:t>/</w:t>
            </w:r>
            <w:r>
              <w:rPr>
                <w:color w:val="000000"/>
                <w:sz w:val="21"/>
                <w:szCs w:val="21"/>
              </w:rPr>
              <w:t>季度</w:t>
            </w:r>
          </w:p>
        </w:tc>
        <w:tc>
          <w:tcPr>
            <w:tcW w:w="678" w:type="pct"/>
          </w:tcPr>
          <w:p w14:paraId="08111D9A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62" w:type="pct"/>
          </w:tcPr>
          <w:p w14:paraId="5DC8AEB5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0D1084" w14:paraId="5D23D76E" w14:textId="76E34F96" w:rsidTr="000D1084">
        <w:trPr>
          <w:jc w:val="center"/>
        </w:trPr>
        <w:tc>
          <w:tcPr>
            <w:tcW w:w="592" w:type="pct"/>
            <w:vAlign w:val="center"/>
          </w:tcPr>
          <w:p w14:paraId="6A675B1C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专家应急响应服务</w:t>
            </w:r>
          </w:p>
        </w:tc>
        <w:tc>
          <w:tcPr>
            <w:tcW w:w="2461" w:type="pct"/>
            <w:vAlign w:val="center"/>
          </w:tcPr>
          <w:p w14:paraId="1A1F1FBC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、提供</w:t>
            </w:r>
            <w:r>
              <w:rPr>
                <w:rFonts w:hint="eastAsia"/>
                <w:color w:val="000000"/>
                <w:sz w:val="21"/>
                <w:szCs w:val="21"/>
              </w:rPr>
              <w:t>7X24</w:t>
            </w:r>
            <w:r>
              <w:rPr>
                <w:rFonts w:hint="eastAsia"/>
                <w:color w:val="000000"/>
                <w:sz w:val="21"/>
                <w:szCs w:val="21"/>
              </w:rPr>
              <w:t>小时专家应急响应服务，一旦发生紧急事件，</w:t>
            </w: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分钟内进行响应，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小时内到达现场，迅速解决问题，将问题造成的损失降低到最小。</w:t>
            </w:r>
            <w:r>
              <w:rPr>
                <w:rFonts w:hint="eastAsia"/>
                <w:color w:val="000000"/>
                <w:sz w:val="21"/>
                <w:szCs w:val="21"/>
              </w:rPr>
              <w:br/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、每年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次协助甲方开展网络安全应急演练行动。</w:t>
            </w:r>
          </w:p>
        </w:tc>
        <w:tc>
          <w:tcPr>
            <w:tcW w:w="507" w:type="pct"/>
            <w:vAlign w:val="center"/>
          </w:tcPr>
          <w:p w14:paraId="37112B9D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视具体情况</w:t>
            </w:r>
          </w:p>
        </w:tc>
        <w:tc>
          <w:tcPr>
            <w:tcW w:w="678" w:type="pct"/>
          </w:tcPr>
          <w:p w14:paraId="635F1B4F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62" w:type="pct"/>
          </w:tcPr>
          <w:p w14:paraId="097114AC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0D1084" w14:paraId="5A4CD693" w14:textId="5232C29B" w:rsidTr="000D1084">
        <w:trPr>
          <w:jc w:val="center"/>
        </w:trPr>
        <w:tc>
          <w:tcPr>
            <w:tcW w:w="592" w:type="pct"/>
            <w:vAlign w:val="center"/>
          </w:tcPr>
          <w:p w14:paraId="430C9165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安全培训服务</w:t>
            </w:r>
          </w:p>
        </w:tc>
        <w:tc>
          <w:tcPr>
            <w:tcW w:w="2461" w:type="pct"/>
          </w:tcPr>
          <w:p w14:paraId="5432A1E3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根据用户实际情况制定培训方案并组织相关的培训。培训包括但不限于以下内容：信息安全基础知识培训；信息安全意识培</w:t>
            </w: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训；信息安全管理体系培训；信息等级保护培训；安全应急响应培训等。</w:t>
            </w:r>
          </w:p>
        </w:tc>
        <w:tc>
          <w:tcPr>
            <w:tcW w:w="507" w:type="pct"/>
            <w:vAlign w:val="center"/>
          </w:tcPr>
          <w:p w14:paraId="35796545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</w:t>
            </w:r>
            <w:r>
              <w:rPr>
                <w:color w:val="000000"/>
                <w:sz w:val="21"/>
                <w:szCs w:val="21"/>
              </w:rPr>
              <w:t>次</w:t>
            </w:r>
            <w:r>
              <w:rPr>
                <w:color w:val="000000"/>
                <w:sz w:val="21"/>
                <w:szCs w:val="21"/>
              </w:rPr>
              <w:t>/</w:t>
            </w:r>
            <w:r>
              <w:rPr>
                <w:color w:val="000000"/>
                <w:sz w:val="21"/>
                <w:szCs w:val="21"/>
              </w:rPr>
              <w:t>年</w:t>
            </w:r>
          </w:p>
        </w:tc>
        <w:tc>
          <w:tcPr>
            <w:tcW w:w="678" w:type="pct"/>
          </w:tcPr>
          <w:p w14:paraId="7F1C7F91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62" w:type="pct"/>
          </w:tcPr>
          <w:p w14:paraId="00609006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0D1084" w14:paraId="54397386" w14:textId="1381F63F" w:rsidTr="000D1084">
        <w:trPr>
          <w:jc w:val="center"/>
        </w:trPr>
        <w:tc>
          <w:tcPr>
            <w:tcW w:w="592" w:type="pct"/>
            <w:vAlign w:val="center"/>
          </w:tcPr>
          <w:p w14:paraId="50D09F17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日志审计分析服务</w:t>
            </w:r>
          </w:p>
        </w:tc>
        <w:tc>
          <w:tcPr>
            <w:tcW w:w="2461" w:type="pct"/>
          </w:tcPr>
          <w:p w14:paraId="6E741F74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实时采集用户单位各种不同厂商的安全设备、网络设备、主机、操作系统、以及各种应用系统产生的日志、事件、报警等信息，并将数据信息汇集到展示平台，进行集中存储、展现、查询和审计。</w:t>
            </w:r>
          </w:p>
        </w:tc>
        <w:tc>
          <w:tcPr>
            <w:tcW w:w="507" w:type="pct"/>
            <w:vAlign w:val="center"/>
          </w:tcPr>
          <w:p w14:paraId="77E786C5" w14:textId="77777777" w:rsidR="000D1084" w:rsidRDefault="000D1084" w:rsidP="004C3A33">
            <w:pPr>
              <w:widowControl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一年</w:t>
            </w:r>
          </w:p>
        </w:tc>
        <w:tc>
          <w:tcPr>
            <w:tcW w:w="678" w:type="pct"/>
          </w:tcPr>
          <w:p w14:paraId="38485E84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62" w:type="pct"/>
          </w:tcPr>
          <w:p w14:paraId="7BD08DF9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0D1084" w14:paraId="39A550DC" w14:textId="77777777" w:rsidTr="000D1084">
        <w:trPr>
          <w:jc w:val="center"/>
        </w:trPr>
        <w:tc>
          <w:tcPr>
            <w:tcW w:w="3053" w:type="pct"/>
            <w:gridSpan w:val="2"/>
            <w:vAlign w:val="center"/>
          </w:tcPr>
          <w:p w14:paraId="230D4805" w14:textId="23DEF6C4" w:rsidR="000D1084" w:rsidRDefault="000D1084" w:rsidP="004C3A33">
            <w:pPr>
              <w:widowControl/>
              <w:ind w:firstLineChars="0" w:firstLine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总计</w:t>
            </w:r>
          </w:p>
        </w:tc>
        <w:tc>
          <w:tcPr>
            <w:tcW w:w="1947" w:type="pct"/>
            <w:gridSpan w:val="3"/>
            <w:vAlign w:val="center"/>
          </w:tcPr>
          <w:p w14:paraId="647D6555" w14:textId="77777777" w:rsidR="000D1084" w:rsidRDefault="000D1084" w:rsidP="004C3A33">
            <w:pPr>
              <w:widowControl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</w:tc>
      </w:tr>
    </w:tbl>
    <w:p w14:paraId="3B11AD5A" w14:textId="77777777" w:rsidR="000D1084" w:rsidRDefault="000D1084" w:rsidP="000D1084">
      <w:pPr>
        <w:pStyle w:val="11"/>
        <w:ind w:leftChars="0" w:left="0" w:firstLineChars="0" w:firstLine="0"/>
        <w:rPr>
          <w:rFonts w:hint="eastAsia"/>
          <w:b/>
          <w:bCs/>
        </w:rPr>
      </w:pPr>
    </w:p>
    <w:p w14:paraId="27A054F2" w14:textId="77777777" w:rsidR="005C4114" w:rsidRDefault="005C4114">
      <w:pPr>
        <w:ind w:firstLine="480"/>
        <w:rPr>
          <w:rFonts w:hint="eastAsia"/>
        </w:rPr>
      </w:pPr>
    </w:p>
    <w:sectPr w:rsidR="005C4114" w:rsidSect="000D1084">
      <w:footerReference w:type="default" r:id="rId4"/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8919" w14:textId="77777777" w:rsidR="00000000" w:rsidRDefault="00000000">
    <w:pPr>
      <w:pStyle w:val="af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A3054" wp14:editId="364D01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42F16" w14:textId="77777777" w:rsidR="00000000" w:rsidRDefault="00000000">
                          <w:pPr>
                            <w:pStyle w:val="40"/>
                            <w:ind w:firstLine="48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305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0342F16" w14:textId="77777777" w:rsidR="00000000" w:rsidRDefault="00000000">
                    <w:pPr>
                      <w:pStyle w:val="40"/>
                      <w:ind w:firstLine="48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84"/>
    <w:rsid w:val="000D1084"/>
    <w:rsid w:val="005C4114"/>
    <w:rsid w:val="00910973"/>
    <w:rsid w:val="00C1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CCDA"/>
  <w15:chartTrackingRefBased/>
  <w15:docId w15:val="{6E00B70F-69F8-4764-B183-A8E53813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D1084"/>
    <w:pPr>
      <w:widowControl w:val="0"/>
      <w:spacing w:line="360" w:lineRule="auto"/>
      <w:ind w:firstLineChars="200" w:firstLine="1044"/>
      <w:jc w:val="both"/>
    </w:pPr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1084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084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084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084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084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084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084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084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084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D10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D1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D1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D10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D108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D10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D1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D1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D108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D1084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D1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D1084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D1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D1084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</w:rPr>
  </w:style>
  <w:style w:type="character" w:customStyle="1" w:styleId="a9">
    <w:name w:val="引用 字符"/>
    <w:basedOn w:val="a1"/>
    <w:link w:val="a8"/>
    <w:uiPriority w:val="29"/>
    <w:rsid w:val="000D108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D1084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  <w:szCs w:val="22"/>
    </w:rPr>
  </w:style>
  <w:style w:type="character" w:styleId="ab">
    <w:name w:val="Intense Emphasis"/>
    <w:basedOn w:val="a1"/>
    <w:uiPriority w:val="21"/>
    <w:qFormat/>
    <w:rsid w:val="000D108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D1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2"/>
    </w:rPr>
  </w:style>
  <w:style w:type="character" w:customStyle="1" w:styleId="ad">
    <w:name w:val="明显引用 字符"/>
    <w:basedOn w:val="a1"/>
    <w:link w:val="ac"/>
    <w:uiPriority w:val="30"/>
    <w:rsid w:val="000D108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D1084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qFormat/>
    <w:rsid w:val="000D10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0">
    <w:name w:val="页脚 字符"/>
    <w:basedOn w:val="a1"/>
    <w:link w:val="af"/>
    <w:rsid w:val="000D1084"/>
    <w:rPr>
      <w:rFonts w:ascii="Times New Roman" w:eastAsia="宋体" w:hAnsi="Times New Roman"/>
      <w:sz w:val="18"/>
      <w:szCs w:val="24"/>
    </w:rPr>
  </w:style>
  <w:style w:type="table" w:styleId="af1">
    <w:name w:val="Table Grid"/>
    <w:basedOn w:val="a2"/>
    <w:qFormat/>
    <w:rsid w:val="000D108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正文1"/>
    <w:basedOn w:val="a"/>
    <w:qFormat/>
    <w:rsid w:val="000D1084"/>
    <w:pPr>
      <w:ind w:leftChars="600" w:left="1260" w:firstLineChars="257" w:firstLine="540"/>
    </w:pPr>
    <w:rPr>
      <w:rFonts w:ascii="宋体" w:hAnsi="宋体"/>
    </w:rPr>
  </w:style>
  <w:style w:type="paragraph" w:styleId="af2">
    <w:name w:val="Body Text"/>
    <w:basedOn w:val="a"/>
    <w:link w:val="af3"/>
    <w:uiPriority w:val="99"/>
    <w:semiHidden/>
    <w:unhideWhenUsed/>
    <w:rsid w:val="000D1084"/>
    <w:pPr>
      <w:spacing w:after="120"/>
    </w:pPr>
  </w:style>
  <w:style w:type="character" w:customStyle="1" w:styleId="af3">
    <w:name w:val="正文文本 字符"/>
    <w:basedOn w:val="a1"/>
    <w:link w:val="af2"/>
    <w:uiPriority w:val="99"/>
    <w:semiHidden/>
    <w:rsid w:val="000D1084"/>
    <w:rPr>
      <w:rFonts w:ascii="Times New Roman" w:eastAsia="宋体" w:hAnsi="Times New Roman"/>
      <w:sz w:val="24"/>
      <w:szCs w:val="24"/>
    </w:rPr>
  </w:style>
  <w:style w:type="paragraph" w:styleId="a0">
    <w:name w:val="Body Text First Indent"/>
    <w:basedOn w:val="af2"/>
    <w:link w:val="af4"/>
    <w:uiPriority w:val="99"/>
    <w:semiHidden/>
    <w:unhideWhenUsed/>
    <w:rsid w:val="000D1084"/>
    <w:pPr>
      <w:ind w:firstLineChars="100" w:firstLine="420"/>
    </w:pPr>
  </w:style>
  <w:style w:type="character" w:customStyle="1" w:styleId="af4">
    <w:name w:val="正文文本首行缩进 字符"/>
    <w:basedOn w:val="af3"/>
    <w:link w:val="a0"/>
    <w:uiPriority w:val="99"/>
    <w:semiHidden/>
    <w:rsid w:val="000D1084"/>
    <w:rPr>
      <w:rFonts w:ascii="Times New Roman" w:eastAsia="宋体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607</Characters>
  <Application>Microsoft Office Word</Application>
  <DocSecurity>0</DocSecurity>
  <Lines>43</Lines>
  <Paragraphs>51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2025-10-17T07:25:00Z</dcterms:created>
  <dcterms:modified xsi:type="dcterms:W3CDTF">2025-10-17T07:30:00Z</dcterms:modified>
</cp:coreProperties>
</file>